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numPr>
          <w:numId w:val="0"/>
        </w:numPr>
        <w:spacing w:line="360" w:lineRule="auto"/>
        <w:ind w:leftChars="0"/>
        <w:rPr>
          <w:rFonts w:hint="eastAsia"/>
          <w:highlight w:val="yellow"/>
        </w:rPr>
      </w:pPr>
      <w:r>
        <w:rPr>
          <w:rFonts w:hint="eastAsia"/>
          <w:b/>
          <w:bCs/>
          <w:sz w:val="24"/>
          <w:szCs w:val="24"/>
          <w:lang w:val="en-US" w:eastAsia="zh-CN"/>
        </w:rPr>
        <w:t>一、</w:t>
      </w:r>
      <w:r>
        <w:rPr>
          <w:rFonts w:hint="eastAsia"/>
          <w:b/>
          <w:bCs/>
          <w:sz w:val="24"/>
          <w:szCs w:val="24"/>
        </w:rPr>
        <w:t>学院简介</w:t>
      </w:r>
    </w:p>
    <w:p>
      <w:pPr>
        <w:pStyle w:val="6"/>
        <w:spacing w:line="360" w:lineRule="auto"/>
        <w:rPr>
          <w:rFonts w:hint="eastAsia"/>
          <w:highlight w:val="none"/>
          <w:lang w:val="en-US" w:eastAsia="zh-CN"/>
        </w:rPr>
      </w:pPr>
      <w:r>
        <w:rPr>
          <w:rFonts w:hint="eastAsia"/>
          <w:highlight w:val="none"/>
          <w:lang w:val="en-US" w:eastAsia="zh-CN"/>
        </w:rPr>
        <w:t>广东交通职业技术学院轨道交通学院成立于2009年6月，现开设有城市轨道交通运营管理、城市轨道车辆应用技术、城市轨道交通机电技术、城市轨道交通通信信号技术、高速铁路施工与维护、智能交通技术、动车组检修技术等7个专业，拥有50余名专职教师队伍、两个省级教学团队，是城市轨道交通国家级双师型培训基地、广东省青少年科普基地。学院以群建院，专业设置对接交通强国战略和粤港澳大湾区建设，目前建设有国家级课程思政示范课程、教学名师和教学团队，省级轨道交通系统运营与维护产教融合创新平台、省级智能交通控制与安全工程技术中心和广州地铁集团等多个省级大学生校外实践基地，建成了能满足学生实训、技能鉴定的教学做一体化的校内外实践实习基地。</w:t>
      </w:r>
    </w:p>
    <w:p>
      <w:pPr>
        <w:pStyle w:val="6"/>
        <w:spacing w:line="360" w:lineRule="auto"/>
        <w:ind w:left="0" w:leftChars="0" w:firstLine="0" w:firstLineChars="0"/>
        <w:rPr>
          <w:rFonts w:hint="eastAsia"/>
          <w:lang w:val="en-US" w:eastAsia="zh-CN"/>
        </w:rPr>
      </w:pPr>
      <w:r>
        <w:drawing>
          <wp:inline distT="0" distB="0" distL="0" distR="0">
            <wp:extent cx="1826895" cy="932180"/>
            <wp:effectExtent l="0" t="0" r="1905" b="1270"/>
            <wp:docPr id="11" name="图片 11" descr="C:\Users\Administrator\Desktop\广州地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广州地铁.jpg"/>
                    <pic:cNvPicPr>
                      <a:picLocks noChangeAspect="1" noChangeArrowheads="1"/>
                    </pic:cNvPicPr>
                  </pic:nvPicPr>
                  <pic:blipFill>
                    <a:blip r:embed="rId4">
                      <a:extLst>
                        <a:ext uri="{28A0092B-C50C-407E-A947-70E740481C1C}">
                          <a14:useLocalDpi xmlns:a14="http://schemas.microsoft.com/office/drawing/2010/main" val="0"/>
                        </a:ext>
                      </a:extLst>
                    </a:blip>
                    <a:srcRect l="11754" t="-9100" r="10617" b="21234"/>
                    <a:stretch>
                      <a:fillRect/>
                    </a:stretch>
                  </pic:blipFill>
                  <pic:spPr>
                    <a:xfrm>
                      <a:off x="0" y="0"/>
                      <a:ext cx="1826895" cy="93218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1441450" cy="996315"/>
            <wp:effectExtent l="0" t="0" r="6350" b="1333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rcRect t="21542" b="13908"/>
                    <a:stretch>
                      <a:fillRect/>
                    </a:stretch>
                  </pic:blipFill>
                  <pic:spPr>
                    <a:xfrm>
                      <a:off x="0" y="0"/>
                      <a:ext cx="1441450" cy="996315"/>
                    </a:xfrm>
                    <a:prstGeom prst="rect">
                      <a:avLst/>
                    </a:prstGeom>
                    <a:noFill/>
                    <a:ln w="9525">
                      <a:noFill/>
                    </a:ln>
                  </pic:spPr>
                </pic:pic>
              </a:graphicData>
            </a:graphic>
          </wp:inline>
        </w:drawing>
      </w:r>
      <w:r>
        <w:drawing>
          <wp:inline distT="0" distB="0" distL="0" distR="0">
            <wp:extent cx="1978660" cy="537210"/>
            <wp:effectExtent l="0" t="0" r="2540" b="15240"/>
            <wp:docPr id="16" name="图片 16" descr="https://p1.ssl.qhimg.com/t019ad9b6c8ef890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p1.ssl.qhimg.com/t019ad9b6c8ef890f6b.jpg"/>
                    <pic:cNvPicPr>
                      <a:picLocks noChangeAspect="1" noChangeArrowheads="1"/>
                    </pic:cNvPicPr>
                  </pic:nvPicPr>
                  <pic:blipFill>
                    <a:blip r:embed="rId6">
                      <a:extLst>
                        <a:ext uri="{28A0092B-C50C-407E-A947-70E740481C1C}">
                          <a14:useLocalDpi xmlns:a14="http://schemas.microsoft.com/office/drawing/2010/main" val="0"/>
                        </a:ext>
                      </a:extLst>
                    </a:blip>
                    <a:srcRect t="39681" b="40319"/>
                    <a:stretch>
                      <a:fillRect/>
                    </a:stretch>
                  </pic:blipFill>
                  <pic:spPr>
                    <a:xfrm>
                      <a:off x="0" y="0"/>
                      <a:ext cx="1978660" cy="53721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39570" cy="641985"/>
            <wp:effectExtent l="0" t="0" r="17780" b="571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7"/>
                    <a:srcRect t="37144" b="34808"/>
                    <a:stretch>
                      <a:fillRect/>
                    </a:stretch>
                  </pic:blipFill>
                  <pic:spPr>
                    <a:xfrm>
                      <a:off x="0" y="0"/>
                      <a:ext cx="1639570" cy="6419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drawing>
          <wp:inline distT="0" distB="0" distL="0" distR="0">
            <wp:extent cx="1324610" cy="1324610"/>
            <wp:effectExtent l="0" t="0" r="8890" b="8890"/>
            <wp:docPr id="17" name="图片 17" descr="https://p1.ssl.qhimg.com/t01103e0c38e2895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p1.ssl.qhimg.com/t01103e0c38e28955f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24610" cy="1324610"/>
                    </a:xfrm>
                    <a:prstGeom prst="rect">
                      <a:avLst/>
                    </a:prstGeom>
                    <a:noFill/>
                    <a:ln>
                      <a:noFill/>
                    </a:ln>
                  </pic:spPr>
                </pic:pic>
              </a:graphicData>
            </a:graphic>
          </wp:inline>
        </w:drawing>
      </w:r>
      <w:r>
        <w:rPr>
          <w:rFonts w:hint="eastAsia"/>
          <w:lang w:val="en-US" w:eastAsia="zh-CN"/>
        </w:rPr>
        <w:t xml:space="preserve">  </w:t>
      </w:r>
      <w:r>
        <w:drawing>
          <wp:inline distT="0" distB="0" distL="0" distR="0">
            <wp:extent cx="1809750" cy="6769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l="12330" t="35638" r="35677" b="35145"/>
                    <a:stretch>
                      <a:fillRect/>
                    </a:stretch>
                  </pic:blipFill>
                  <pic:spPr>
                    <a:xfrm>
                      <a:off x="0" y="0"/>
                      <a:ext cx="1809750" cy="676910"/>
                    </a:xfrm>
                    <a:prstGeom prst="rect">
                      <a:avLst/>
                    </a:prstGeom>
                    <a:ln>
                      <a:noFill/>
                    </a:ln>
                  </pic:spPr>
                </pic:pic>
              </a:graphicData>
            </a:graphic>
          </wp:inline>
        </w:drawing>
      </w:r>
    </w:p>
    <w:p>
      <w:pPr>
        <w:pStyle w:val="6"/>
        <w:spacing w:line="360" w:lineRule="auto"/>
        <w:ind w:left="0" w:leftChars="0" w:firstLine="0" w:firstLineChars="0"/>
        <w:rPr>
          <w:rFonts w:hint="default"/>
          <w:highlight w:val="none"/>
          <w:lang w:val="en-US" w:eastAsia="zh-CN"/>
        </w:rPr>
      </w:pPr>
    </w:p>
    <w:p>
      <w:pPr>
        <w:pStyle w:val="6"/>
        <w:spacing w:line="360" w:lineRule="auto"/>
        <w:ind w:left="0" w:leftChars="0" w:firstLine="0" w:firstLineChars="0"/>
        <w:rPr>
          <w:rFonts w:hint="eastAsia"/>
          <w:highlight w:val="none"/>
          <w:lang w:val="en-US" w:eastAsia="zh-CN"/>
        </w:rPr>
      </w:pPr>
      <w:r>
        <w:rPr>
          <w:rFonts w:hint="default"/>
          <w:highlight w:val="none"/>
          <w:lang w:val="en-US" w:eastAsia="zh-CN"/>
        </w:rPr>
        <w:drawing>
          <wp:inline distT="0" distB="0" distL="114300" distR="114300">
            <wp:extent cx="2611755" cy="1765300"/>
            <wp:effectExtent l="0" t="0" r="17145" b="6350"/>
            <wp:docPr id="2" name="图片 2" descr="fa99dcf0a3944725de41c318adf2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99dcf0a3944725de41c318adf2e7c"/>
                    <pic:cNvPicPr>
                      <a:picLocks noChangeAspect="1"/>
                    </pic:cNvPicPr>
                  </pic:nvPicPr>
                  <pic:blipFill>
                    <a:blip r:embed="rId10"/>
                    <a:srcRect t="15885"/>
                    <a:stretch>
                      <a:fillRect/>
                    </a:stretch>
                  </pic:blipFill>
                  <pic:spPr>
                    <a:xfrm>
                      <a:off x="0" y="0"/>
                      <a:ext cx="2611755" cy="1765300"/>
                    </a:xfrm>
                    <a:prstGeom prst="rect">
                      <a:avLst/>
                    </a:prstGeom>
                  </pic:spPr>
                </pic:pic>
              </a:graphicData>
            </a:graphic>
          </wp:inline>
        </w:drawing>
      </w:r>
      <w:r>
        <w:rPr>
          <w:b/>
          <w:bCs/>
        </w:rPr>
        <w:drawing>
          <wp:inline distT="0" distB="0" distL="0" distR="0">
            <wp:extent cx="2588260" cy="1712595"/>
            <wp:effectExtent l="0" t="0" r="2540" b="1905"/>
            <wp:docPr id="24" name="图片 24" descr="C:\Users\pc\AppData\Local\Temp\WeChat Files\dff3f7ce35ea76d76e249ab33b28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pc\AppData\Local\Temp\WeChat Files\dff3f7ce35ea76d76e249ab33b28a7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88260" cy="1712595"/>
                    </a:xfrm>
                    <a:prstGeom prst="rect">
                      <a:avLst/>
                    </a:prstGeom>
                    <a:noFill/>
                    <a:ln>
                      <a:noFill/>
                    </a:ln>
                  </pic:spPr>
                </pic:pic>
              </a:graphicData>
            </a:graphic>
          </wp:inline>
        </w:drawing>
      </w:r>
      <w:r>
        <w:rPr>
          <w:rFonts w:hint="eastAsia"/>
          <w:highlight w:val="none"/>
          <w:lang w:val="en-US" w:eastAsia="zh-CN"/>
        </w:rPr>
        <w:t xml:space="preserve"> </w:t>
      </w:r>
    </w:p>
    <w:p>
      <w:pPr>
        <w:pStyle w:val="6"/>
        <w:numPr>
          <w:ilvl w:val="0"/>
          <w:numId w:val="0"/>
        </w:numPr>
        <w:spacing w:line="360" w:lineRule="auto"/>
        <w:ind w:leftChars="0"/>
        <w:rPr>
          <w:rFonts w:hint="eastAsia"/>
          <w:b/>
          <w:bCs/>
          <w:sz w:val="24"/>
          <w:szCs w:val="24"/>
          <w:lang w:val="en-US" w:eastAsia="zh-CN"/>
        </w:rPr>
      </w:pPr>
    </w:p>
    <w:p>
      <w:pPr>
        <w:pStyle w:val="6"/>
        <w:numPr>
          <w:ilvl w:val="0"/>
          <w:numId w:val="0"/>
        </w:numPr>
        <w:spacing w:line="360" w:lineRule="auto"/>
        <w:ind w:leftChars="0"/>
        <w:rPr>
          <w:rFonts w:hint="eastAsia"/>
          <w:b/>
          <w:bCs/>
          <w:sz w:val="24"/>
          <w:szCs w:val="24"/>
          <w:lang w:val="en-US" w:eastAsia="zh-CN"/>
        </w:rPr>
      </w:pPr>
    </w:p>
    <w:p>
      <w:pPr>
        <w:pStyle w:val="6"/>
        <w:numPr>
          <w:ilvl w:val="0"/>
          <w:numId w:val="0"/>
        </w:numPr>
        <w:spacing w:line="360" w:lineRule="auto"/>
        <w:ind w:leftChars="0"/>
        <w:rPr>
          <w:rFonts w:hint="eastAsia"/>
          <w:b/>
          <w:bCs/>
          <w:sz w:val="24"/>
          <w:szCs w:val="24"/>
          <w:lang w:val="en-US" w:eastAsia="zh-CN"/>
        </w:rPr>
      </w:pPr>
    </w:p>
    <w:p>
      <w:pPr>
        <w:pStyle w:val="6"/>
        <w:numPr>
          <w:ilvl w:val="0"/>
          <w:numId w:val="0"/>
        </w:numPr>
        <w:spacing w:line="360" w:lineRule="auto"/>
        <w:ind w:leftChars="0"/>
        <w:rPr>
          <w:rFonts w:hint="eastAsia"/>
          <w:b/>
          <w:bCs/>
          <w:sz w:val="24"/>
          <w:szCs w:val="24"/>
          <w:lang w:val="en-US" w:eastAsia="zh-CN"/>
        </w:rPr>
      </w:pPr>
    </w:p>
    <w:p>
      <w:pPr>
        <w:pStyle w:val="6"/>
        <w:numPr>
          <w:ilvl w:val="0"/>
          <w:numId w:val="0"/>
        </w:numPr>
        <w:spacing w:line="360" w:lineRule="auto"/>
        <w:ind w:leftChars="0"/>
        <w:rPr>
          <w:rFonts w:hint="eastAsia"/>
          <w:b/>
          <w:bCs/>
          <w:sz w:val="24"/>
          <w:szCs w:val="24"/>
          <w:lang w:val="en-US" w:eastAsia="zh-CN"/>
        </w:rPr>
      </w:pPr>
    </w:p>
    <w:p>
      <w:pPr>
        <w:pStyle w:val="6"/>
        <w:numPr>
          <w:ilvl w:val="0"/>
          <w:numId w:val="0"/>
        </w:numPr>
        <w:spacing w:line="360" w:lineRule="auto"/>
        <w:ind w:leftChars="0"/>
        <w:rPr>
          <w:rFonts w:hint="eastAsia"/>
          <w:b/>
          <w:bCs/>
          <w:sz w:val="24"/>
          <w:szCs w:val="24"/>
        </w:rPr>
      </w:pPr>
      <w:r>
        <w:rPr>
          <w:rFonts w:hint="eastAsia"/>
          <w:b/>
          <w:bCs/>
          <w:sz w:val="24"/>
          <w:szCs w:val="24"/>
          <w:lang w:val="en-US" w:eastAsia="zh-CN"/>
        </w:rPr>
        <w:t>二、专业介绍</w:t>
      </w:r>
    </w:p>
    <w:tbl>
      <w:tblPr>
        <w:tblStyle w:val="4"/>
        <w:tblpPr w:leftFromText="180" w:rightFromText="180" w:vertAnchor="page" w:horzAnchor="page" w:tblpX="1801" w:tblpY="15699"/>
        <w:tblW w:w="50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2186"/>
        <w:gridCol w:w="1894"/>
        <w:gridCol w:w="161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666" w:type="pct"/>
            <w:vAlign w:val="center"/>
          </w:tcPr>
          <w:p>
            <w:pPr>
              <w:jc w:val="center"/>
              <w:rPr>
                <w:b/>
                <w:bCs/>
              </w:rPr>
            </w:pPr>
            <w:r>
              <w:rPr>
                <w:rFonts w:hint="eastAsia"/>
                <w:b/>
                <w:bCs/>
              </w:rPr>
              <w:t>专业名称</w:t>
            </w:r>
          </w:p>
        </w:tc>
        <w:tc>
          <w:tcPr>
            <w:tcW w:w="1257" w:type="pct"/>
            <w:vAlign w:val="center"/>
          </w:tcPr>
          <w:p>
            <w:pPr>
              <w:jc w:val="center"/>
              <w:rPr>
                <w:b/>
                <w:bCs/>
              </w:rPr>
            </w:pPr>
            <w:r>
              <w:rPr>
                <w:rFonts w:hint="eastAsia"/>
                <w:b/>
                <w:bCs/>
              </w:rPr>
              <w:t>专业建设水平</w:t>
            </w:r>
          </w:p>
        </w:tc>
        <w:tc>
          <w:tcPr>
            <w:tcW w:w="1089" w:type="pct"/>
            <w:vAlign w:val="center"/>
          </w:tcPr>
          <w:p>
            <w:pPr>
              <w:jc w:val="center"/>
              <w:rPr>
                <w:b/>
                <w:bCs/>
              </w:rPr>
            </w:pPr>
            <w:r>
              <w:rPr>
                <w:rFonts w:hint="eastAsia"/>
                <w:b/>
                <w:bCs/>
              </w:rPr>
              <w:t>核心能力培养</w:t>
            </w:r>
          </w:p>
        </w:tc>
        <w:tc>
          <w:tcPr>
            <w:tcW w:w="926" w:type="pct"/>
            <w:vAlign w:val="center"/>
          </w:tcPr>
          <w:p>
            <w:pPr>
              <w:jc w:val="center"/>
              <w:rPr>
                <w:b/>
                <w:bCs/>
              </w:rPr>
            </w:pPr>
            <w:r>
              <w:rPr>
                <w:rFonts w:hint="eastAsia"/>
                <w:b/>
                <w:bCs/>
              </w:rPr>
              <w:t>毕业主要去向</w:t>
            </w:r>
          </w:p>
        </w:tc>
        <w:tc>
          <w:tcPr>
            <w:tcW w:w="1060" w:type="pct"/>
            <w:vAlign w:val="center"/>
          </w:tcPr>
          <w:p>
            <w:pPr>
              <w:jc w:val="center"/>
              <w:rPr>
                <w:b/>
                <w:bCs/>
              </w:rPr>
            </w:pPr>
            <w:r>
              <w:rPr>
                <w:rFonts w:hint="eastAsia"/>
                <w:b/>
                <w:bCs/>
              </w:rPr>
              <w:t>职业发展路径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城市轨道交通运营管理</w:t>
            </w:r>
          </w:p>
        </w:tc>
        <w:tc>
          <w:tcPr>
            <w:tcW w:w="1257" w:type="pct"/>
            <w:vAlign w:val="center"/>
          </w:tcPr>
          <w:p>
            <w:pPr>
              <w:pStyle w:val="6"/>
              <w:keepNext w:val="0"/>
              <w:keepLines w:val="0"/>
              <w:pageBreakBefore w:val="0"/>
              <w:widowControl w:val="0"/>
              <w:numPr>
                <w:ilvl w:val="0"/>
                <w:numId w:val="0"/>
              </w:numPr>
              <w:kinsoku/>
              <w:wordWrap/>
              <w:overflowPunct/>
              <w:topLinePunct w:val="0"/>
              <w:autoSpaceDE/>
              <w:autoSpaceDN/>
              <w:bidi w:val="0"/>
              <w:spacing w:line="360" w:lineRule="exact"/>
              <w:ind w:leftChars="0"/>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国家骨干院校央财支持的重点建设专业群重点建设专业；广东省高水平专业群引领专业；广东省一流高职院校高水平专业；广东省高职重点建设专业。</w:t>
            </w:r>
          </w:p>
        </w:tc>
        <w:tc>
          <w:tcPr>
            <w:tcW w:w="1089"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面向城市轨道交通行业企业，培养德、智、体、美、劳全面发展，具有社会主义核心价值观和家国情怀、掌握城市轨道站务管理、城市轨道交通运输设备操作、城市轨道交通调度指挥等专业知识和城市轨道交通车站客流组织、行车组织、应急处理和票务处理等技术，具备服务意识、安全意识、良好沟通表达等职业素养，能从事站务员、值班员、值班站长、行车调度员等岗位工作的，具有创新精神的复合型技术技能人才。</w:t>
            </w:r>
          </w:p>
        </w:tc>
        <w:tc>
          <w:tcPr>
            <w:tcW w:w="92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轨道交通运营企业、城市公共交通运输企业、高速公路运营管理企业。</w:t>
            </w:r>
          </w:p>
        </w:tc>
        <w:tc>
          <w:tcPr>
            <w:tcW w:w="1060"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初始岗位：站务员、客运值班员、行车值班员</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目标岗位：值班站长、站长、行车调度员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城市轨道车辆运用技术专业</w:t>
            </w:r>
          </w:p>
        </w:tc>
        <w:tc>
          <w:tcPr>
            <w:tcW w:w="1257"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国家骨干校央财重点建设专业；广东省首批品牌专业；全国交通运输行业教学指导委员会骨干专业；广州地铁、深圳地铁两个省级校外实践基地</w:t>
            </w:r>
          </w:p>
        </w:tc>
        <w:tc>
          <w:tcPr>
            <w:tcW w:w="1089" w:type="pct"/>
            <w:vAlign w:val="center"/>
          </w:tcPr>
          <w:p>
            <w:pPr>
              <w:keepNext w:val="0"/>
              <w:keepLines w:val="0"/>
              <w:pageBreakBefore w:val="0"/>
              <w:widowControl w:val="0"/>
              <w:kinsoku/>
              <w:wordWrap/>
              <w:overflowPunct/>
              <w:topLinePunct w:val="0"/>
              <w:autoSpaceDE/>
              <w:autoSpaceDN/>
              <w:bidi w:val="0"/>
              <w:adjustRightInd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面向轨道交通行业企业，培养德、智、体、美、劳全面发展，具有社会主义核心价值观和家国情怀、掌握轨道交通车辆检修、车辆驾驶、车辆装调专业技术技能，能从事城市轨道交通运营企业车辆检修工、列车司机、车辆装调、技术工程师等岗位工作高素质技术技能人才。</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c>
          <w:tcPr>
            <w:tcW w:w="92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主要面向城市轨道交通运营企业、车辆制造企业相关岗位。</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主要就业企业：广州地铁、深圳地铁、东莞地铁、佛山地铁、佛山中车、广州中车等企业。</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 xml:space="preserve">主要就业岗位：车辆检修工、列车司机、车辆装配员等。 </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c>
          <w:tcPr>
            <w:tcW w:w="106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初次就业岗位：车辆检修员、司机、车辆装配员</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中级3-5年：中级检修工、中级司机、工班长、列车督导员、检修调度；</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高级6-10年：高级检修工、高级司机、技师、工班长、技术工程师、技术主管/主任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城市轨道交通机电技术</w:t>
            </w:r>
          </w:p>
        </w:tc>
        <w:tc>
          <w:tcPr>
            <w:tcW w:w="1257"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广东省高本三二分段协同培养专业</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广东省高水平专业群重点建设专业</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广东省高职高专示范实训基地</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c>
          <w:tcPr>
            <w:tcW w:w="1089"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 xml:space="preserve">面向城市轨道交通及机电行业企业，培养德、智、体、美、劳全面发展，具有城市轨道交通机电设备专业知识和机电设备操作使用、故障处理、安装调试及维护等专业技术，具备敬业精神和道德修养等职业素养，具有创新精神的复合型技术技能人才。   </w:t>
            </w:r>
          </w:p>
        </w:tc>
        <w:tc>
          <w:tcPr>
            <w:tcW w:w="92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能从事城市轨道交通运营企业机电设备维修员、环控调度员、维修调度员，机电类企业设备维护、检修等岗位工作的</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c>
          <w:tcPr>
            <w:tcW w:w="1060"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初级AFC检修员/初级环控检修员/初级低压配电检修员</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中级AFC检修员/中级环控检修员/中级低压配电检修员/技术助理</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高级AFC检修员/高级环控检修员/高级低压配电检修员/技术主任</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城市轨道交通通信信号技术</w:t>
            </w:r>
          </w:p>
        </w:tc>
        <w:tc>
          <w:tcPr>
            <w:tcW w:w="1257"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default"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国家骨干校央财重点支持专业；广州地铁省级校外实践基地；深圳地铁省级校外实践基地</w:t>
            </w:r>
          </w:p>
        </w:tc>
        <w:tc>
          <w:tcPr>
            <w:tcW w:w="1089"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面向城市轨道交通行业企业，培养德、智、体、美、劳全面发展，具有社会主义核心价值观和家国情怀、掌握轨道交通通信信号专业知识、安全防范技术、视频监控维护等专业知识和轨道交通通信、信号设备维修技能、系统的集成与实施、故障诊断与维护等技术，具有创新性、高素质技术技能人才。</w:t>
            </w:r>
          </w:p>
        </w:tc>
        <w:tc>
          <w:tcPr>
            <w:tcW w:w="92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default"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广州地铁、深圳地铁、佛山地铁等地铁运营公司；佳都科技、铁科智控等地铁维保公司；大华、海康威视等相干系统集成或维护公司；通信或网络相关企业。</w:t>
            </w:r>
          </w:p>
        </w:tc>
        <w:tc>
          <w:tcPr>
            <w:tcW w:w="1060"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第一阶段：初级通信检修员、初级信号检修员、系统集成运维助理、售前/售后技术支持工程师助理；</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第二阶段：中级通信/信号检修员、值班助理、技术助理、系统集成运维技术员、售前/售后技术支持技术员；</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第三阶段：高级通信/信号检修员、值班主任、技术主办、系统集成运维工程师、技术支持工程师。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高速铁路施工与维护专业</w:t>
            </w:r>
          </w:p>
        </w:tc>
        <w:tc>
          <w:tcPr>
            <w:tcW w:w="1257"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国家骨干校央财重点建设专业；广东省首批品牌专业；广州地铁、深圳地铁两个省级校外实践基地；高本衔接专业</w:t>
            </w:r>
          </w:p>
        </w:tc>
        <w:tc>
          <w:tcPr>
            <w:tcW w:w="1089" w:type="pct"/>
            <w:vAlign w:val="center"/>
          </w:tcPr>
          <w:p>
            <w:pPr>
              <w:keepNext w:val="0"/>
              <w:keepLines w:val="0"/>
              <w:pageBreakBefore w:val="0"/>
              <w:widowControl w:val="0"/>
              <w:kinsoku/>
              <w:wordWrap/>
              <w:overflowPunct/>
              <w:topLinePunct w:val="0"/>
              <w:autoSpaceDE/>
              <w:autoSpaceDN/>
              <w:bidi w:val="0"/>
              <w:adjustRightInd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面向轨道交通行业企业，培养德、智、体、美、劳全面发展，具有社会主义核心价值观和家国情怀、掌握轨道交通供变电、机电专业知识和相关设备操作使用、故障处理、安装调试及维护等专业/技能，具备敬业精神和道德修养等职业素养，能从事城市轨道交通运营企业变电检修员、低压配电检修员、接触网检修员、电气工程师等岗位工作的，具有创新型、高素质技术技能人才。</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c>
          <w:tcPr>
            <w:tcW w:w="92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主要面向轨道交通企业的牵引供电系统和配电系统检修和运行部门一线岗位，同时，经由行业企业专业培训后也能够从事驾驶员工作等。专业亦能从事高低压电气设备生产、安装、维护、检修岗位；并能从事高低压电气工程施工、安装、调试、设计、管理等岗位。</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综合就业前景广阔，包括铁路行业、城市轨道交通企业、城际客运企业、电力工程企业等领域中涉及高低压电气设施一线工作。</w:t>
            </w:r>
          </w:p>
        </w:tc>
        <w:tc>
          <w:tcPr>
            <w:tcW w:w="1060"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初级：初级接触网、变电、配电检修员、电气工程技术员</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中级：中级接触网、变电、配电检修员、电气工程师</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高级：高级检修员、技术主管、电气工程高级工程师</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智能交通技术</w:t>
            </w:r>
          </w:p>
        </w:tc>
        <w:tc>
          <w:tcPr>
            <w:tcW w:w="1257"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国家骨干院校央财重点建设专业</w:t>
            </w:r>
            <w:r>
              <w:rPr>
                <w:rFonts w:hint="eastAsia" w:cstheme="minorBidi"/>
                <w:kern w:val="2"/>
                <w:sz w:val="21"/>
                <w:szCs w:val="22"/>
                <w:lang w:val="en-US" w:eastAsia="zh-CN" w:bidi="ar-SA"/>
              </w:rPr>
              <w:t>；</w:t>
            </w:r>
            <w:r>
              <w:rPr>
                <w:rFonts w:hint="eastAsia" w:asciiTheme="minorHAnsi" w:hAnsiTheme="minorHAnsi" w:eastAsiaTheme="minorEastAsia" w:cstheme="minorBidi"/>
                <w:kern w:val="2"/>
                <w:sz w:val="21"/>
                <w:szCs w:val="22"/>
                <w:lang w:val="en-US" w:eastAsia="zh-CN" w:bidi="ar-SA"/>
              </w:rPr>
              <w:t>广东省一流校重点建设专业</w:t>
            </w:r>
            <w:r>
              <w:rPr>
                <w:rFonts w:hint="eastAsia" w:cstheme="minorBidi"/>
                <w:kern w:val="2"/>
                <w:sz w:val="21"/>
                <w:szCs w:val="22"/>
                <w:lang w:val="en-US" w:eastAsia="zh-CN" w:bidi="ar-SA"/>
              </w:rPr>
              <w:t>；</w:t>
            </w:r>
            <w:r>
              <w:rPr>
                <w:rFonts w:hint="eastAsia" w:asciiTheme="minorHAnsi" w:hAnsiTheme="minorHAnsi" w:eastAsiaTheme="minorEastAsia" w:cstheme="minorBidi"/>
                <w:kern w:val="2"/>
                <w:sz w:val="21"/>
                <w:szCs w:val="22"/>
                <w:lang w:val="en-US" w:eastAsia="zh-CN" w:bidi="ar-SA"/>
              </w:rPr>
              <w:t>广东省首批品牌专业</w:t>
            </w:r>
            <w:r>
              <w:rPr>
                <w:rFonts w:hint="eastAsia" w:cstheme="minorBidi"/>
                <w:kern w:val="2"/>
                <w:sz w:val="21"/>
                <w:szCs w:val="22"/>
                <w:lang w:val="en-US" w:eastAsia="zh-CN" w:bidi="ar-SA"/>
              </w:rPr>
              <w:t>；</w:t>
            </w:r>
            <w:r>
              <w:rPr>
                <w:rFonts w:hint="eastAsia" w:asciiTheme="minorHAnsi" w:hAnsiTheme="minorHAnsi" w:eastAsiaTheme="minorEastAsia" w:cstheme="minorBidi"/>
                <w:kern w:val="2"/>
                <w:sz w:val="21"/>
                <w:szCs w:val="22"/>
                <w:lang w:val="en-US" w:eastAsia="zh-CN" w:bidi="ar-SA"/>
              </w:rPr>
              <w:t>广东省示范院校重点建设专业</w:t>
            </w:r>
            <w:r>
              <w:rPr>
                <w:rFonts w:hint="eastAsia" w:cstheme="minorBidi"/>
                <w:kern w:val="2"/>
                <w:sz w:val="21"/>
                <w:szCs w:val="22"/>
                <w:lang w:val="en-US" w:eastAsia="zh-CN" w:bidi="ar-SA"/>
              </w:rPr>
              <w:t>；</w:t>
            </w:r>
            <w:r>
              <w:rPr>
                <w:rFonts w:hint="eastAsia" w:asciiTheme="minorHAnsi" w:hAnsiTheme="minorHAnsi" w:eastAsiaTheme="minorEastAsia" w:cstheme="minorBidi"/>
                <w:kern w:val="2"/>
                <w:sz w:val="21"/>
                <w:szCs w:val="22"/>
                <w:lang w:val="en-US" w:eastAsia="zh-CN" w:bidi="ar-SA"/>
              </w:rPr>
              <w:t>广东省高水平专业群重点建设专业</w:t>
            </w:r>
            <w:r>
              <w:rPr>
                <w:rFonts w:hint="eastAsia" w:cstheme="minorBidi"/>
                <w:kern w:val="2"/>
                <w:sz w:val="21"/>
                <w:szCs w:val="22"/>
                <w:lang w:val="en-US" w:eastAsia="zh-CN" w:bidi="ar-SA"/>
              </w:rPr>
              <w:t>。</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国家创新行动计划骨干专业</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国家教学资源库备选</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广东省教学资源库</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广东省高职高专示范实训基地</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c>
          <w:tcPr>
            <w:tcW w:w="1089"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 xml:space="preserve">面向智能交通行业（拓展至安防视频监控领域），培养掌握交通监控技术、公路收费技术、安全防范技术、交通控制技术、工程项目管理等专业知识，具备相关系统的运营与管理、施工与维护、集成与实施等技术技能，具有创新精神的技术技能型人才。   </w:t>
            </w:r>
          </w:p>
        </w:tc>
        <w:tc>
          <w:tcPr>
            <w:tcW w:w="92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以智能交通为切入点，拓展到安防监控、城市轨道、智慧社区等其它应用领域，从事相关系统的集成运维技术员、项目施工员、售前\售后工程师、项目经理助理等岗位工作的。</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c>
          <w:tcPr>
            <w:tcW w:w="1060"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集成维护技术员/技术助理</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集成维护工程师/技术支持工程师</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项目经理/</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销售主管</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技术总监/</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行业专家/</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部门高管</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动车组检修技术专业</w:t>
            </w:r>
          </w:p>
        </w:tc>
        <w:tc>
          <w:tcPr>
            <w:tcW w:w="1257"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学院新兴专业</w:t>
            </w:r>
            <w:r>
              <w:rPr>
                <w:rFonts w:hint="eastAsia" w:cstheme="minorBidi"/>
                <w:kern w:val="2"/>
                <w:sz w:val="21"/>
                <w:szCs w:val="22"/>
                <w:lang w:val="en-US" w:eastAsia="zh-CN" w:bidi="ar-SA"/>
              </w:rPr>
              <w:t>；</w:t>
            </w:r>
            <w:r>
              <w:rPr>
                <w:rFonts w:hint="eastAsia" w:asciiTheme="minorHAnsi" w:hAnsiTheme="minorHAnsi" w:eastAsiaTheme="minorEastAsia" w:cstheme="minorBidi"/>
                <w:kern w:val="2"/>
                <w:sz w:val="21"/>
                <w:szCs w:val="22"/>
                <w:lang w:val="en-US" w:eastAsia="zh-CN" w:bidi="ar-SA"/>
              </w:rPr>
              <w:t>广州地铁省级校外实践基地</w:t>
            </w:r>
            <w:r>
              <w:rPr>
                <w:rFonts w:hint="eastAsia" w:cstheme="minorBidi"/>
                <w:kern w:val="2"/>
                <w:sz w:val="21"/>
                <w:szCs w:val="22"/>
                <w:lang w:val="en-US" w:eastAsia="zh-CN" w:bidi="ar-SA"/>
              </w:rPr>
              <w:t>；</w:t>
            </w:r>
            <w:r>
              <w:rPr>
                <w:rFonts w:hint="eastAsia" w:asciiTheme="minorHAnsi" w:hAnsiTheme="minorHAnsi" w:eastAsiaTheme="minorEastAsia" w:cstheme="minorBidi"/>
                <w:kern w:val="2"/>
                <w:sz w:val="21"/>
                <w:szCs w:val="22"/>
                <w:lang w:val="en-US" w:eastAsia="zh-CN" w:bidi="ar-SA"/>
              </w:rPr>
              <w:t>深圳地铁省级校外实践基地</w:t>
            </w:r>
            <w:r>
              <w:rPr>
                <w:rFonts w:hint="eastAsia" w:cstheme="minorBidi"/>
                <w:kern w:val="2"/>
                <w:sz w:val="21"/>
                <w:szCs w:val="22"/>
                <w:lang w:val="en-US" w:eastAsia="zh-CN" w:bidi="ar-SA"/>
              </w:rPr>
              <w:t>。</w:t>
            </w:r>
          </w:p>
        </w:tc>
        <w:tc>
          <w:tcPr>
            <w:tcW w:w="1089"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面向轨道交通行业企业，培养学生德、智、体、美全面发展，使其掌握动车组总体技术等专业基础知识以及动车组检修、电动列车驾驶、故障处理等技术技能，同时培养学生良好的沟通交流和团队协作能力、数字应用和信息处理能力、安全责任意识与创新精神，培育爱国情怀、工匠精神等</w:t>
            </w:r>
            <w:r>
              <w:rPr>
                <w:rFonts w:hint="eastAsia" w:cstheme="minorBidi"/>
                <w:kern w:val="2"/>
                <w:sz w:val="21"/>
                <w:szCs w:val="22"/>
                <w:lang w:val="en-US" w:eastAsia="zh-CN" w:bidi="ar-SA"/>
              </w:rPr>
              <w:t>。</w:t>
            </w:r>
          </w:p>
        </w:tc>
        <w:tc>
          <w:tcPr>
            <w:tcW w:w="926"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主要面向铁路行业、城市轨道交通企业的动车组检修和运用部门一线岗位，亦能基本胜任电力机车、城市轨道交通车辆的运用、维护、检修工作，同时，经由行业企业专业培训后也能够从事驾驶员工作等。综合就业前景广阔，包括铁路行业、城市轨道交通企业、城际客运企业等领域中涉及动车组车辆的生产制造、运用、检修及管理等工作。</w:t>
            </w:r>
          </w:p>
        </w:tc>
        <w:tc>
          <w:tcPr>
            <w:tcW w:w="1060" w:type="pct"/>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见习生；动车组机械师（初级）、司机（初级）；动车组机械师（中、高级）、司机（中、高级）、技师；高级技师、技术专职（副主任、主任）</w:t>
            </w:r>
          </w:p>
        </w:tc>
      </w:tr>
    </w:tbl>
    <w:p>
      <w:pPr>
        <w:pStyle w:val="6"/>
        <w:numPr>
          <w:numId w:val="0"/>
        </w:numPr>
        <w:spacing w:line="360" w:lineRule="auto"/>
        <w:ind w:leftChars="0"/>
        <w:rPr>
          <w:rFonts w:hint="eastAsia"/>
          <w:b/>
          <w:bCs/>
          <w:sz w:val="24"/>
          <w:szCs w:val="24"/>
          <w:lang w:val="en-US" w:eastAsia="zh-CN"/>
        </w:rPr>
      </w:pPr>
    </w:p>
    <w:p>
      <w:pPr>
        <w:pStyle w:val="6"/>
        <w:numPr>
          <w:numId w:val="0"/>
        </w:numPr>
        <w:spacing w:line="360" w:lineRule="auto"/>
        <w:ind w:leftChars="0"/>
        <w:rPr>
          <w:rFonts w:hint="eastAsia"/>
          <w:b/>
          <w:bCs/>
          <w:sz w:val="24"/>
          <w:szCs w:val="24"/>
          <w:lang w:val="en-US" w:eastAsia="zh-CN"/>
        </w:rPr>
      </w:pPr>
    </w:p>
    <w:p>
      <w:pPr>
        <w:pStyle w:val="6"/>
        <w:numPr>
          <w:numId w:val="0"/>
        </w:numPr>
        <w:spacing w:line="360" w:lineRule="auto"/>
        <w:ind w:leftChars="0"/>
        <w:rPr>
          <w:rFonts w:hint="eastAsia"/>
          <w:b/>
          <w:bCs/>
          <w:sz w:val="24"/>
          <w:szCs w:val="24"/>
          <w:lang w:val="en-US" w:eastAsia="zh-CN"/>
        </w:rPr>
      </w:pPr>
    </w:p>
    <w:p>
      <w:pPr>
        <w:pStyle w:val="6"/>
        <w:numPr>
          <w:numId w:val="0"/>
        </w:numPr>
        <w:spacing w:line="360" w:lineRule="auto"/>
        <w:ind w:leftChars="0"/>
        <w:rPr>
          <w:rFonts w:hint="eastAsia"/>
          <w:b/>
          <w:bCs/>
          <w:sz w:val="24"/>
          <w:szCs w:val="24"/>
          <w:lang w:val="en-US" w:eastAsia="zh-CN"/>
        </w:rPr>
      </w:pPr>
      <w:bookmarkStart w:id="0" w:name="_GoBack"/>
      <w:bookmarkEnd w:id="0"/>
    </w:p>
    <w:p>
      <w:pPr>
        <w:pStyle w:val="6"/>
        <w:numPr>
          <w:numId w:val="0"/>
        </w:numPr>
        <w:spacing w:line="360" w:lineRule="auto"/>
        <w:ind w:leftChars="0"/>
      </w:pPr>
      <w:r>
        <w:rPr>
          <w:rFonts w:hint="eastAsia"/>
          <w:b/>
          <w:bCs/>
          <w:sz w:val="24"/>
          <w:szCs w:val="24"/>
          <w:lang w:val="en-US" w:eastAsia="zh-CN"/>
        </w:rPr>
        <w:t>三、</w:t>
      </w:r>
      <w:r>
        <w:rPr>
          <w:rFonts w:hint="eastAsia"/>
          <w:b/>
          <w:bCs/>
          <w:sz w:val="24"/>
          <w:szCs w:val="24"/>
        </w:rPr>
        <w:t>校企合作</w:t>
      </w:r>
    </w:p>
    <w:p>
      <w:pPr>
        <w:spacing w:line="360" w:lineRule="auto"/>
        <w:ind w:firstLine="420" w:firstLineChars="200"/>
        <w:rPr>
          <w:rFonts w:hint="eastAsia" w:eastAsiaTheme="minorEastAsia"/>
          <w:lang w:val="en-US" w:eastAsia="zh-CN"/>
        </w:rPr>
      </w:pPr>
      <w:r>
        <w:rPr>
          <w:rFonts w:hint="eastAsia"/>
        </w:rPr>
        <w:t> </w:t>
      </w:r>
      <w:r>
        <w:rPr>
          <w:rFonts w:hint="eastAsia"/>
        </w:rPr>
        <w:t>学院与广州地铁集团有限公司、深圳地铁集团有限公司、港铁轨道交通(深圳)有限公司、佛山市轨道交通发展有限公司、东莞市轨道交通有限公司、广东新粤交通投资有限公司、浙江大华技术股份有限公司、白云电气集团、广州新科佳都科技有限公司等40多家企业签订了校企合作协议，形成了紧密的校企合作关系。各大企业在大一、大二时入校选拔学生组建订单班，打造岗位直通车，校企共同制定人才培养方案、共同授课。共同建设大学生校外实践基地，开展实训条件建设、课程开发、师资培训，多方位建设轨道交通校企协同育人平台</w:t>
      </w:r>
      <w:r>
        <w:rPr>
          <w:rFonts w:hint="eastAsia"/>
          <w:lang w:eastAsia="zh-CN"/>
        </w:rPr>
        <w:t>。</w:t>
      </w:r>
      <w:r>
        <w:rPr>
          <w:rFonts w:hint="eastAsia"/>
          <w:lang w:val="en-US" w:eastAsia="zh-CN"/>
        </w:rPr>
        <w:t>其中，</w:t>
      </w:r>
      <w:r>
        <w:rPr>
          <w:rFonts w:hint="eastAsia"/>
        </w:rPr>
        <w:t>城市轨道交通运营管理专业对接交通强国战略、广东省现代化综合交通运输体系、粤港澳大湾区互联互通和“一带一路”等建设，瞄准轨道交通产业转型升级对高素质人才的需求，与湾区轨道交通企业共同开展订单培养、现代学徒制培养，近年来与18个单位建立了校企合作关系</w:t>
      </w:r>
      <w:r>
        <w:rPr>
          <w:rFonts w:hint="eastAsia"/>
        </w:rPr>
        <w:t>，其中</w:t>
      </w:r>
      <w:r>
        <w:rPr>
          <w:rFonts w:hint="eastAsia"/>
        </w:rPr>
        <w:t>广州地铁集团和</w:t>
      </w:r>
      <w:r>
        <w:rPr>
          <w:rFonts w:hint="eastAsia"/>
        </w:rPr>
        <w:t>深圳地铁集团为本专业省级大学生校外实践教学基地</w:t>
      </w:r>
      <w:r>
        <w:rPr>
          <w:rFonts w:hint="eastAsia"/>
          <w:lang w:eastAsia="zh-CN"/>
        </w:rPr>
        <w:t>；</w:t>
      </w:r>
      <w:r>
        <w:t>智能交通</w:t>
      </w:r>
      <w:r>
        <w:rPr>
          <w:rFonts w:hint="eastAsia"/>
        </w:rPr>
        <w:t>技术</w:t>
      </w:r>
      <w:r>
        <w:t>专业与广东交通集团下属的“广东新粤交通投资有限公司”、“广州新软计算机技术有限公司”、“广东京安交通科技有限公司</w:t>
      </w:r>
      <w:r>
        <w:rPr>
          <w:rFonts w:hint="eastAsia"/>
          <w:lang w:eastAsia="zh-CN"/>
        </w:rPr>
        <w:t>”</w:t>
      </w:r>
      <w:r>
        <w:rPr>
          <w:rFonts w:hint="eastAsia"/>
          <w:lang w:val="en-US" w:eastAsia="zh-CN"/>
        </w:rPr>
        <w:t>等</w:t>
      </w:r>
      <w:r>
        <w:t>15个单位建立了校企合作关系</w:t>
      </w:r>
      <w:r>
        <w:rPr>
          <w:rFonts w:hint="eastAsia"/>
        </w:rPr>
        <w:t>，</w:t>
      </w:r>
      <w:r>
        <w:t>其中广东京安交通科技有限公司和广东华强嘉捷实业有限公司为本专业省级大学生校外实践教学基地</w:t>
      </w:r>
      <w:r>
        <w:rPr>
          <w:rFonts w:hint="eastAsia"/>
          <w:lang w:eastAsia="zh-CN"/>
        </w:rPr>
        <w:t>。</w:t>
      </w:r>
    </w:p>
    <w:p>
      <w:pPr>
        <w:spacing w:line="360" w:lineRule="auto"/>
        <w:jc w:val="center"/>
      </w:pPr>
      <w:r>
        <w:rPr>
          <w:rFonts w:ascii="宋体" w:hAnsi="宋体" w:eastAsia="宋体" w:cs="宋体"/>
          <w:kern w:val="0"/>
          <w:sz w:val="24"/>
          <w:szCs w:val="24"/>
        </w:rPr>
        <w:drawing>
          <wp:inline distT="0" distB="0" distL="0" distR="0">
            <wp:extent cx="4762500" cy="3596640"/>
            <wp:effectExtent l="0" t="0" r="0" b="3810"/>
            <wp:docPr id="12" name="图片 12" descr="说明: http://a1.gdcp.cn/UploadFile/2390/2017/8/17/201781785637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http://a1.gdcp.cn/UploadFile/2390/2017/8/17/2017817856379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62500" cy="3596640"/>
                    </a:xfrm>
                    <a:prstGeom prst="rect">
                      <a:avLst/>
                    </a:prstGeom>
                    <a:noFill/>
                    <a:ln>
                      <a:noFill/>
                    </a:ln>
                  </pic:spPr>
                </pic:pic>
              </a:graphicData>
            </a:graphic>
          </wp:inline>
        </w:drawing>
      </w:r>
    </w:p>
    <w:p>
      <w:pPr>
        <w:spacing w:line="360" w:lineRule="auto"/>
        <w:jc w:val="center"/>
      </w:pPr>
      <w:r>
        <w:rPr>
          <w:rFonts w:hint="eastAsia"/>
        </w:rPr>
        <w:t>学生在广州地铁实习</w:t>
      </w:r>
    </w:p>
    <w:p>
      <w:pPr>
        <w:widowControl/>
        <w:spacing w:line="360" w:lineRule="auto"/>
        <w:jc w:val="center"/>
      </w:pPr>
      <w:r>
        <w:drawing>
          <wp:inline distT="0" distB="0" distL="0" distR="0">
            <wp:extent cx="5274310" cy="2941320"/>
            <wp:effectExtent l="0" t="0" r="2540" b="11430"/>
            <wp:docPr id="3" name="图片 3" descr="C:\Users\Administrator\Desktop\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640.web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941442"/>
                    </a:xfrm>
                    <a:prstGeom prst="rect">
                      <a:avLst/>
                    </a:prstGeom>
                    <a:noFill/>
                    <a:ln>
                      <a:noFill/>
                    </a:ln>
                  </pic:spPr>
                </pic:pic>
              </a:graphicData>
            </a:graphic>
          </wp:inline>
        </w:drawing>
      </w:r>
    </w:p>
    <w:p>
      <w:pPr>
        <w:pStyle w:val="2"/>
        <w:widowControl/>
        <w:spacing w:beforeAutospacing="0" w:afterAutospacing="0" w:line="360" w:lineRule="auto"/>
        <w:jc w:val="center"/>
      </w:pPr>
      <w:r>
        <w:t>学生在广东京安交通科技有限公司见习</w:t>
      </w:r>
    </w:p>
    <w:p>
      <w:pPr>
        <w:pStyle w:val="6"/>
        <w:numPr>
          <w:numId w:val="0"/>
        </w:numPr>
        <w:spacing w:line="360" w:lineRule="auto"/>
        <w:ind w:leftChars="0"/>
        <w:rPr>
          <w:rFonts w:hint="eastAsia"/>
          <w:b/>
          <w:bCs/>
          <w:sz w:val="24"/>
          <w:szCs w:val="24"/>
          <w:lang w:val="en-US" w:eastAsia="zh-CN"/>
        </w:rPr>
      </w:pPr>
    </w:p>
    <w:p>
      <w:pPr>
        <w:pStyle w:val="6"/>
        <w:numPr>
          <w:numId w:val="0"/>
        </w:numPr>
        <w:spacing w:line="360" w:lineRule="auto"/>
        <w:ind w:leftChars="0"/>
      </w:pPr>
      <w:r>
        <w:rPr>
          <w:rFonts w:hint="eastAsia"/>
          <w:b/>
          <w:bCs/>
          <w:sz w:val="24"/>
          <w:szCs w:val="24"/>
          <w:lang w:val="en-US" w:eastAsia="zh-CN"/>
        </w:rPr>
        <w:t>四、</w:t>
      </w:r>
      <w:r>
        <w:rPr>
          <w:rFonts w:hint="eastAsia"/>
          <w:b/>
          <w:bCs/>
          <w:sz w:val="24"/>
          <w:szCs w:val="24"/>
        </w:rPr>
        <w:t>优秀校友</w:t>
      </w:r>
    </w:p>
    <w:p>
      <w:pPr>
        <w:spacing w:line="360" w:lineRule="auto"/>
        <w:ind w:firstLine="211" w:firstLineChars="100"/>
        <w:rPr>
          <w:b/>
          <w:bCs/>
        </w:rPr>
      </w:pPr>
      <w:r>
        <w:rPr>
          <w:b/>
          <w:bCs/>
        </w:rPr>
        <w:drawing>
          <wp:inline distT="0" distB="0" distL="0" distR="0">
            <wp:extent cx="5274310" cy="3510915"/>
            <wp:effectExtent l="0" t="0" r="2540" b="13335"/>
            <wp:docPr id="21" name="图片 21" descr="C:\Users\pc\AppData\Local\Temp\WeChat Files\9c2c8effd4a986b7636a3f7f2957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pc\AppData\Local\Temp\WeChat Files\9c2c8effd4a986b7636a3f7f29577b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511240"/>
                    </a:xfrm>
                    <a:prstGeom prst="rect">
                      <a:avLst/>
                    </a:prstGeom>
                    <a:noFill/>
                    <a:ln>
                      <a:noFill/>
                    </a:ln>
                  </pic:spPr>
                </pic:pic>
              </a:graphicData>
            </a:graphic>
          </wp:inline>
        </w:drawing>
      </w:r>
    </w:p>
    <w:p>
      <w:pPr>
        <w:spacing w:line="360" w:lineRule="auto"/>
        <w:ind w:firstLine="211" w:firstLineChars="100"/>
        <w:jc w:val="center"/>
        <w:rPr>
          <w:b/>
          <w:bCs/>
        </w:rPr>
      </w:pPr>
      <w:r>
        <w:rPr>
          <w:rFonts w:hint="eastAsia"/>
          <w:b/>
          <w:bCs/>
        </w:rPr>
        <w:t>李碧容</w:t>
      </w:r>
    </w:p>
    <w:p>
      <w:pPr>
        <w:widowControl/>
        <w:jc w:val="left"/>
        <w:rPr>
          <w:b/>
          <w:bCs/>
        </w:rPr>
      </w:pPr>
      <w:r>
        <w:rPr>
          <w:b/>
          <w:bCs/>
        </w:rPr>
        <w:br w:type="page"/>
      </w:r>
    </w:p>
    <w:p>
      <w:pPr>
        <w:spacing w:line="360" w:lineRule="auto"/>
        <w:rPr>
          <w:b w:val="0"/>
          <w:bCs w:val="0"/>
        </w:rPr>
      </w:pPr>
      <w:r>
        <w:rPr>
          <w:rFonts w:hint="eastAsia"/>
          <w:b w:val="0"/>
          <w:bCs w:val="0"/>
        </w:rPr>
        <w:t>叶柏桐    </w:t>
      </w:r>
    </w:p>
    <w:p>
      <w:pPr>
        <w:spacing w:line="360" w:lineRule="auto"/>
        <w:rPr>
          <w:b w:val="0"/>
          <w:bCs w:val="0"/>
        </w:rPr>
      </w:pPr>
      <w:r>
        <w:rPr>
          <w:rFonts w:hint="eastAsia"/>
          <w:b w:val="0"/>
          <w:bCs w:val="0"/>
        </w:rPr>
        <w:t>就读专业：</w:t>
      </w:r>
      <w:r>
        <w:rPr>
          <w:b w:val="0"/>
          <w:bCs w:val="0"/>
        </w:rPr>
        <w:t>2011级城市轨道交通运营管理专业</w:t>
      </w:r>
    </w:p>
    <w:p>
      <w:pPr>
        <w:spacing w:line="360" w:lineRule="auto"/>
        <w:rPr>
          <w:b w:val="0"/>
          <w:bCs w:val="0"/>
        </w:rPr>
      </w:pPr>
      <w:r>
        <w:rPr>
          <w:rFonts w:hint="eastAsia"/>
          <w:b w:val="0"/>
          <w:bCs w:val="0"/>
        </w:rPr>
        <w:t>现任职位：就职于深圳地铁集团有限公司，行车调度员，工作业绩</w:t>
      </w:r>
      <w:r>
        <w:rPr>
          <w:b w:val="0"/>
          <w:bCs w:val="0"/>
        </w:rPr>
        <w:t>:优秀团干部，青年文明号号长，连续四年被公司评为年度先进个人和优秀员工。</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b w:val="0"/>
          <w:bCs w:val="0"/>
        </w:rPr>
      </w:pPr>
      <w:r>
        <w:rPr>
          <w:rFonts w:hint="eastAsia"/>
          <w:b w:val="0"/>
          <w:bCs w:val="0"/>
        </w:rPr>
        <w:t>大学历程：信息反馈员</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b/>
          <w:bCs/>
        </w:rPr>
      </w:pPr>
    </w:p>
    <w:p>
      <w:pPr>
        <w:spacing w:line="360" w:lineRule="auto"/>
        <w:ind w:firstLine="211" w:firstLineChars="100"/>
        <w:jc w:val="center"/>
        <w:rPr>
          <w:b/>
          <w:bCs/>
        </w:rPr>
      </w:pPr>
      <w:r>
        <w:rPr>
          <w:b/>
          <w:bCs/>
        </w:rPr>
        <w:drawing>
          <wp:inline distT="0" distB="0" distL="0" distR="0">
            <wp:extent cx="3048000" cy="4064000"/>
            <wp:effectExtent l="0" t="0" r="0" b="12700"/>
            <wp:docPr id="25" name="图片 25" descr="C:\Users\pc\AppData\Local\Temp\WeChat Files\9f5bfc130c2fb25360350e1bb489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pc\AppData\Local\Temp\WeChat Files\9f5bfc130c2fb25360350e1bb4891b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51925" cy="4069233"/>
                    </a:xfrm>
                    <a:prstGeom prst="rect">
                      <a:avLst/>
                    </a:prstGeom>
                    <a:noFill/>
                    <a:ln>
                      <a:noFill/>
                    </a:ln>
                  </pic:spPr>
                </pic:pic>
              </a:graphicData>
            </a:graphic>
          </wp:inline>
        </w:drawing>
      </w:r>
    </w:p>
    <w:p>
      <w:pPr>
        <w:spacing w:line="360" w:lineRule="auto"/>
        <w:ind w:firstLine="211" w:firstLineChars="100"/>
        <w:jc w:val="center"/>
        <w:rPr>
          <w:b/>
          <w:bCs/>
        </w:rPr>
      </w:pPr>
      <w:r>
        <w:rPr>
          <w:rFonts w:hint="eastAsia"/>
          <w:b/>
          <w:bCs/>
        </w:rPr>
        <w:t>叶柏桐 </w:t>
      </w:r>
    </w:p>
    <w:p>
      <w:pPr>
        <w:widowControl/>
        <w:jc w:val="left"/>
        <w:rPr>
          <w:b/>
          <w:bCs/>
        </w:rPr>
      </w:pPr>
      <w:r>
        <w:rPr>
          <w:b/>
          <w:bCs/>
        </w:rPr>
        <w:br w:type="page"/>
      </w:r>
    </w:p>
    <w:p>
      <w:pPr>
        <w:spacing w:line="360" w:lineRule="auto"/>
        <w:rPr>
          <w:b w:val="0"/>
          <w:bCs w:val="0"/>
        </w:rPr>
      </w:pPr>
      <w:r>
        <w:rPr>
          <w:rFonts w:hint="eastAsia"/>
          <w:b w:val="0"/>
          <w:bCs w:val="0"/>
        </w:rPr>
        <w:t>邹建富    </w:t>
      </w:r>
    </w:p>
    <w:p>
      <w:pPr>
        <w:spacing w:line="360" w:lineRule="auto"/>
        <w:rPr>
          <w:b w:val="0"/>
          <w:bCs w:val="0"/>
        </w:rPr>
      </w:pPr>
      <w:r>
        <w:rPr>
          <w:rFonts w:hint="eastAsia"/>
          <w:b w:val="0"/>
          <w:bCs w:val="0"/>
        </w:rPr>
        <w:t>就读专业：</w:t>
      </w:r>
      <w:r>
        <w:rPr>
          <w:b w:val="0"/>
          <w:bCs w:val="0"/>
        </w:rPr>
        <w:t>2011级城市轨道交通运营管理专业</w:t>
      </w:r>
    </w:p>
    <w:p>
      <w:pPr>
        <w:spacing w:line="360" w:lineRule="auto"/>
        <w:rPr>
          <w:b w:val="0"/>
          <w:bCs w:val="0"/>
        </w:rPr>
      </w:pPr>
      <w:r>
        <w:rPr>
          <w:rFonts w:hint="eastAsia"/>
          <w:b w:val="0"/>
          <w:bCs w:val="0"/>
        </w:rPr>
        <w:t>现任职位：就职于深圳地铁运营集团有限公司客运三分公司乘务三部客车督导。</w:t>
      </w:r>
    </w:p>
    <w:p>
      <w:pPr>
        <w:spacing w:line="360" w:lineRule="auto"/>
        <w:rPr>
          <w:b w:val="0"/>
          <w:bCs w:val="0"/>
        </w:rPr>
      </w:pPr>
      <w:r>
        <w:rPr>
          <w:rFonts w:hint="eastAsia"/>
          <w:b w:val="0"/>
          <w:bCs w:val="0"/>
        </w:rPr>
        <w:t>工作业绩：先后在深圳地铁</w:t>
      </w:r>
      <w:r>
        <w:rPr>
          <w:b w:val="0"/>
          <w:bCs w:val="0"/>
        </w:rPr>
        <w:t>1、3、7、9、6号线担任客车司机、客车督导，参与过7号线、9号线西延、6号线新线建设，曾多次荣获运营总部优秀员工、技术能手、优秀团员、工会积极分子等荣誉。</w:t>
      </w:r>
    </w:p>
    <w:p>
      <w:pPr>
        <w:spacing w:line="360" w:lineRule="auto"/>
        <w:rPr>
          <w:b w:val="0"/>
          <w:bCs w:val="0"/>
        </w:rPr>
      </w:pPr>
      <w:r>
        <w:rPr>
          <w:rFonts w:hint="eastAsia"/>
          <w:b w:val="0"/>
          <w:bCs w:val="0"/>
        </w:rPr>
        <w:t>大学历程：考勤班长、学院社团部副部长。</w:t>
      </w:r>
    </w:p>
    <w:p>
      <w:pPr>
        <w:rPr>
          <w:rFonts w:hint="eastAsia" w:ascii="仿宋" w:hAnsi="仿宋" w:eastAsia="仿宋" w:cs="Helvetica"/>
          <w:color w:val="333333"/>
          <w:sz w:val="24"/>
          <w:szCs w:val="24"/>
        </w:rPr>
      </w:pPr>
    </w:p>
    <w:p>
      <w:pPr>
        <w:spacing w:line="360" w:lineRule="auto"/>
        <w:rPr>
          <w:rFonts w:hint="eastAsia"/>
          <w:b w:val="0"/>
          <w:bCs w:val="0"/>
        </w:rPr>
      </w:pPr>
      <w:r>
        <w:rPr>
          <w:rFonts w:hint="eastAsia"/>
          <w:b w:val="0"/>
          <w:bCs w:val="0"/>
        </w:rPr>
        <w:t>李英宗</w:t>
      </w:r>
    </w:p>
    <w:p>
      <w:pPr>
        <w:spacing w:line="360" w:lineRule="auto"/>
        <w:rPr>
          <w:rFonts w:hint="eastAsia"/>
          <w:b w:val="0"/>
          <w:bCs w:val="0"/>
        </w:rPr>
      </w:pPr>
      <w:r>
        <w:rPr>
          <w:rFonts w:hint="eastAsia"/>
          <w:b w:val="0"/>
          <w:bCs w:val="0"/>
        </w:rPr>
        <w:t>就读专业：</w:t>
      </w:r>
      <w:r>
        <w:rPr>
          <w:rFonts w:hint="eastAsia"/>
          <w:b w:val="0"/>
          <w:bCs w:val="0"/>
          <w:lang w:val="en-US" w:eastAsia="zh-CN"/>
        </w:rPr>
        <w:t>2009级</w:t>
      </w:r>
      <w:r>
        <w:rPr>
          <w:rFonts w:hint="eastAsia"/>
          <w:b w:val="0"/>
          <w:bCs w:val="0"/>
        </w:rPr>
        <w:t>城市轨道机电一体化</w:t>
      </w:r>
      <w:r>
        <w:rPr>
          <w:rFonts w:hint="eastAsia"/>
          <w:b w:val="0"/>
          <w:bCs w:val="0"/>
          <w:lang w:val="en-US" w:eastAsia="zh-CN"/>
        </w:rPr>
        <w:t>专业</w:t>
      </w:r>
      <w:r>
        <w:rPr>
          <w:rFonts w:hint="eastAsia"/>
          <w:b w:val="0"/>
          <w:bCs w:val="0"/>
        </w:rPr>
        <w:t>。</w:t>
      </w:r>
    </w:p>
    <w:p>
      <w:pPr>
        <w:spacing w:line="360" w:lineRule="auto"/>
        <w:rPr>
          <w:rFonts w:hint="eastAsia"/>
          <w:b w:val="0"/>
          <w:bCs w:val="0"/>
        </w:rPr>
      </w:pPr>
      <w:r>
        <w:rPr>
          <w:rFonts w:ascii="仿宋" w:hAnsi="仿宋" w:eastAsia="仿宋" w:cs="Helvetica"/>
          <w:color w:val="333333"/>
          <w:sz w:val="24"/>
          <w:szCs w:val="24"/>
        </w:rPr>
        <w:drawing>
          <wp:anchor distT="0" distB="0" distL="0" distR="0" simplePos="0" relativeHeight="251658240" behindDoc="0" locked="0" layoutInCell="1" allowOverlap="1">
            <wp:simplePos x="0" y="0"/>
            <wp:positionH relativeFrom="column">
              <wp:posOffset>809625</wp:posOffset>
            </wp:positionH>
            <wp:positionV relativeFrom="paragraph">
              <wp:posOffset>565785</wp:posOffset>
            </wp:positionV>
            <wp:extent cx="3501390" cy="4237355"/>
            <wp:effectExtent l="0" t="0" r="3810" b="10795"/>
            <wp:wrapNone/>
            <wp:docPr id="9" name="图片 9"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lob.png"/>
                    <pic:cNvPicPr>
                      <a:picLocks noChangeAspect="1" noChangeArrowheads="1"/>
                    </pic:cNvPicPr>
                  </pic:nvPicPr>
                  <pic:blipFill>
                    <a:blip r:embed="rId16">
                      <a:extLst>
                        <a:ext uri="{28A0092B-C50C-407E-A947-70E740481C1C}">
                          <a14:useLocalDpi xmlns:a14="http://schemas.microsoft.com/office/drawing/2010/main" val="0"/>
                        </a:ext>
                      </a:extLst>
                    </a:blip>
                    <a:srcRect t="16982"/>
                    <a:stretch>
                      <a:fillRect/>
                    </a:stretch>
                  </pic:blipFill>
                  <pic:spPr>
                    <a:xfrm>
                      <a:off x="0" y="0"/>
                      <a:ext cx="3501390" cy="4237355"/>
                    </a:xfrm>
                    <a:prstGeom prst="rect">
                      <a:avLst/>
                    </a:prstGeom>
                    <a:noFill/>
                    <a:ln>
                      <a:noFill/>
                    </a:ln>
                  </pic:spPr>
                </pic:pic>
              </a:graphicData>
            </a:graphic>
          </wp:anchor>
        </w:drawing>
      </w:r>
      <w:r>
        <w:rPr>
          <w:rFonts w:hint="eastAsia"/>
          <w:b w:val="0"/>
          <w:bCs w:val="0"/>
        </w:rPr>
        <w:t>现任职位：就职于深圳地铁集团运营总部客运三分公司任督导，先后荣获“全国列车先锋”、运营总部“优秀员工”、公司应急预案比武一等奖、线路图铺画比武二等奖等荣誉。</w:t>
      </w: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rPr>
          <w:rFonts w:hint="eastAsia"/>
          <w:b w:val="0"/>
          <w:bCs w:val="0"/>
        </w:rPr>
      </w:pPr>
    </w:p>
    <w:p>
      <w:pPr>
        <w:spacing w:line="360" w:lineRule="auto"/>
        <w:ind w:firstLine="211" w:firstLineChars="100"/>
        <w:jc w:val="center"/>
        <w:rPr>
          <w:rFonts w:hint="eastAsia"/>
          <w:b/>
          <w:bCs/>
        </w:rPr>
      </w:pPr>
      <w:r>
        <w:rPr>
          <w:rFonts w:hint="eastAsia"/>
          <w:b/>
          <w:bCs/>
        </w:rPr>
        <w:t>李英宗</w:t>
      </w:r>
    </w:p>
    <w:p>
      <w:pPr>
        <w:spacing w:line="360" w:lineRule="auto"/>
        <w:rPr>
          <w:rFonts w:hint="eastAsia"/>
          <w:b w:val="0"/>
          <w:bCs w:val="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007AC7"/>
    <w:rsid w:val="3B1671C0"/>
    <w:rsid w:val="4C007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szCs w:val="24"/>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2021-11-25T16:27:00Z</dcterms:created>
  <dc:creator>wanyi</dc:creator>
  <cp:lastModifiedBy>wanyi</cp:lastModifiedBy>
  <dcterms:modified xsi:type="dcterms:W3CDTF">2021-11-25T17:20:52Z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